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9A4316" w:rsidRDefault="00D66E09" w:rsidP="007D5B03">
      <w:pPr>
        <w:pStyle w:val="Ttulo1"/>
        <w:jc w:val="center"/>
      </w:pPr>
      <w:r>
        <w:t xml:space="preserve">Secretaría de Seguridad </w:t>
      </w:r>
      <w:r w:rsidR="00FA68C1">
        <w:t>expone resultados de consultorías en gestión de riesgos a</w:t>
      </w:r>
      <w:r w:rsidR="009657CD">
        <w:t xml:space="preserve"> la comunidad en varios sectores de la ciudad</w:t>
      </w:r>
      <w:r w:rsidR="00FA68C1">
        <w:t>.</w:t>
      </w:r>
    </w:p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406003" w:rsidRPr="00FA68C1" w:rsidRDefault="009A4316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A68C1">
        <w:rPr>
          <w:rFonts w:cstheme="minorHAnsi"/>
          <w:sz w:val="24"/>
          <w:szCs w:val="24"/>
        </w:rPr>
        <w:t xml:space="preserve">La Alcaldía del Distrito Metropolitano de Quito, a través de la Secretaría General de Seguridad y la Dirección Metropolitana de Gestión de Riesgos, fomenta una cultura de prevención y respuesta ante eventos </w:t>
      </w:r>
      <w:r w:rsidR="00406003" w:rsidRPr="00FA68C1">
        <w:rPr>
          <w:rFonts w:cstheme="minorHAnsi"/>
          <w:sz w:val="24"/>
          <w:szCs w:val="24"/>
        </w:rPr>
        <w:t xml:space="preserve">adversos naturales y antrópicos </w:t>
      </w:r>
      <w:r w:rsidRPr="00FA68C1">
        <w:rPr>
          <w:rFonts w:cstheme="minorHAnsi"/>
          <w:sz w:val="24"/>
          <w:szCs w:val="24"/>
        </w:rPr>
        <w:t xml:space="preserve">mediante </w:t>
      </w:r>
      <w:r w:rsidR="007D5B03" w:rsidRPr="00FA68C1">
        <w:rPr>
          <w:rFonts w:cstheme="minorHAnsi"/>
          <w:sz w:val="24"/>
          <w:szCs w:val="24"/>
        </w:rPr>
        <w:t xml:space="preserve">socializaciones, </w:t>
      </w:r>
      <w:r w:rsidRPr="00FA68C1">
        <w:rPr>
          <w:rFonts w:cstheme="minorHAnsi"/>
          <w:sz w:val="24"/>
          <w:szCs w:val="24"/>
        </w:rPr>
        <w:t xml:space="preserve">capacitaciones, </w:t>
      </w:r>
      <w:r w:rsidR="007D5B03" w:rsidRPr="00FA68C1">
        <w:rPr>
          <w:rFonts w:cstheme="minorHAnsi"/>
          <w:sz w:val="24"/>
          <w:szCs w:val="24"/>
        </w:rPr>
        <w:t>f</w:t>
      </w:r>
      <w:r w:rsidRPr="00FA68C1">
        <w:rPr>
          <w:rFonts w:cstheme="minorHAnsi"/>
          <w:sz w:val="24"/>
          <w:szCs w:val="24"/>
        </w:rPr>
        <w:t>erias, simulacros y varias actividades en conjunto con la participación de la ciudadanía en distintos sectores de la ciudad.</w:t>
      </w:r>
    </w:p>
    <w:p w:rsidR="00406003" w:rsidRPr="00FA68C1" w:rsidRDefault="00406003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7812E4" w:rsidRDefault="00406003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A68C1">
        <w:rPr>
          <w:rFonts w:cstheme="minorHAnsi"/>
          <w:sz w:val="24"/>
          <w:szCs w:val="24"/>
        </w:rPr>
        <w:t>E</w:t>
      </w:r>
      <w:r w:rsidR="007D5B03" w:rsidRPr="00FA68C1">
        <w:rPr>
          <w:rFonts w:cstheme="minorHAnsi"/>
          <w:sz w:val="24"/>
          <w:szCs w:val="24"/>
        </w:rPr>
        <w:t>l fin de semana, los técnicos de</w:t>
      </w:r>
      <w:r w:rsidRPr="00FA68C1">
        <w:rPr>
          <w:rFonts w:cstheme="minorHAnsi"/>
          <w:sz w:val="24"/>
          <w:szCs w:val="24"/>
        </w:rPr>
        <w:t xml:space="preserve"> gestión de riesgo</w:t>
      </w:r>
      <w:r w:rsidR="007D5B03" w:rsidRPr="00FA68C1">
        <w:rPr>
          <w:rFonts w:cstheme="minorHAnsi"/>
          <w:sz w:val="24"/>
          <w:szCs w:val="24"/>
        </w:rPr>
        <w:t>s</w:t>
      </w:r>
      <w:r w:rsidRPr="00FA68C1">
        <w:rPr>
          <w:rFonts w:cstheme="minorHAnsi"/>
          <w:sz w:val="24"/>
          <w:szCs w:val="24"/>
        </w:rPr>
        <w:t xml:space="preserve"> dialogaron con los moradores de los </w:t>
      </w:r>
      <w:r w:rsidR="002E54FD">
        <w:rPr>
          <w:rFonts w:cstheme="minorHAnsi"/>
          <w:sz w:val="24"/>
          <w:szCs w:val="24"/>
        </w:rPr>
        <w:t>siguientes barrios: El Comercio, T</w:t>
      </w:r>
      <w:r w:rsidRPr="00FA68C1">
        <w:rPr>
          <w:rFonts w:cstheme="minorHAnsi"/>
          <w:sz w:val="24"/>
          <w:szCs w:val="24"/>
        </w:rPr>
        <w:t>urubamba Alto, Turubamba Bajo,</w:t>
      </w:r>
      <w:r w:rsidR="002E54FD">
        <w:rPr>
          <w:rFonts w:cstheme="minorHAnsi"/>
          <w:sz w:val="24"/>
          <w:szCs w:val="24"/>
        </w:rPr>
        <w:t xml:space="preserve"> Solanda etapa 4, </w:t>
      </w:r>
      <w:r w:rsidR="009657CD" w:rsidRPr="00FA68C1">
        <w:rPr>
          <w:rFonts w:cstheme="minorHAnsi"/>
          <w:sz w:val="24"/>
          <w:szCs w:val="24"/>
        </w:rPr>
        <w:t xml:space="preserve">El </w:t>
      </w:r>
      <w:r w:rsidR="002E54FD" w:rsidRPr="00FA68C1">
        <w:rPr>
          <w:rFonts w:cstheme="minorHAnsi"/>
          <w:sz w:val="24"/>
          <w:szCs w:val="24"/>
        </w:rPr>
        <w:t xml:space="preserve">Pedregal, </w:t>
      </w:r>
      <w:r w:rsidR="002E54FD">
        <w:rPr>
          <w:rFonts w:cstheme="minorHAnsi"/>
          <w:sz w:val="24"/>
          <w:szCs w:val="24"/>
        </w:rPr>
        <w:t>Laderas</w:t>
      </w:r>
      <w:r w:rsidR="009657CD" w:rsidRPr="00FA68C1">
        <w:rPr>
          <w:rFonts w:cstheme="minorHAnsi"/>
          <w:sz w:val="24"/>
          <w:szCs w:val="24"/>
        </w:rPr>
        <w:t xml:space="preserve"> de San Francisco, Campo Alegre, </w:t>
      </w:r>
      <w:proofErr w:type="spellStart"/>
      <w:r w:rsidR="009657CD" w:rsidRPr="00FA68C1">
        <w:rPr>
          <w:rFonts w:cstheme="minorHAnsi"/>
          <w:sz w:val="24"/>
          <w:szCs w:val="24"/>
        </w:rPr>
        <w:t>Miraquito</w:t>
      </w:r>
      <w:proofErr w:type="spellEnd"/>
      <w:r w:rsidR="009657CD" w:rsidRPr="00FA68C1">
        <w:rPr>
          <w:rFonts w:cstheme="minorHAnsi"/>
          <w:sz w:val="24"/>
          <w:szCs w:val="24"/>
        </w:rPr>
        <w:t xml:space="preserve">, Cristo Rey No 1, Cristo Rey No. 2, San Vicente de Calderón, y Colinas de Bellavista; </w:t>
      </w:r>
      <w:r w:rsidR="007D5B03" w:rsidRPr="00FA68C1">
        <w:rPr>
          <w:rFonts w:cstheme="minorHAnsi"/>
          <w:sz w:val="24"/>
          <w:szCs w:val="24"/>
        </w:rPr>
        <w:t>cuyo fin fue exponer</w:t>
      </w:r>
      <w:r w:rsidR="00624092" w:rsidRPr="00FA68C1">
        <w:rPr>
          <w:rFonts w:cstheme="minorHAnsi"/>
          <w:sz w:val="24"/>
          <w:szCs w:val="24"/>
        </w:rPr>
        <w:t xml:space="preserve"> los resultados </w:t>
      </w:r>
      <w:r w:rsidR="007812E4">
        <w:rPr>
          <w:rFonts w:cstheme="minorHAnsi"/>
          <w:sz w:val="24"/>
          <w:szCs w:val="24"/>
        </w:rPr>
        <w:t xml:space="preserve">de las consultorías en las cuales se determinó el nivel de riesgo en estos sectores. </w:t>
      </w:r>
    </w:p>
    <w:p w:rsidR="007812E4" w:rsidRPr="00FA68C1" w:rsidRDefault="007812E4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47B59" w:rsidRPr="00FA68C1" w:rsidRDefault="00847B59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A68C1">
        <w:rPr>
          <w:rFonts w:cstheme="minorHAnsi"/>
          <w:sz w:val="24"/>
          <w:szCs w:val="24"/>
        </w:rPr>
        <w:t>En los</w:t>
      </w:r>
      <w:r w:rsidR="00D66E09">
        <w:rPr>
          <w:rFonts w:cstheme="minorHAnsi"/>
          <w:sz w:val="24"/>
          <w:szCs w:val="24"/>
        </w:rPr>
        <w:t xml:space="preserve"> próximos días </w:t>
      </w:r>
      <w:r w:rsidR="00D66E09" w:rsidRPr="00FA68C1">
        <w:rPr>
          <w:rFonts w:cstheme="minorHAnsi"/>
          <w:sz w:val="24"/>
          <w:szCs w:val="24"/>
        </w:rPr>
        <w:t>continuarán</w:t>
      </w:r>
      <w:r w:rsidR="007D5B03" w:rsidRPr="00FA68C1">
        <w:rPr>
          <w:rFonts w:cstheme="minorHAnsi"/>
          <w:sz w:val="24"/>
          <w:szCs w:val="24"/>
        </w:rPr>
        <w:t xml:space="preserve"> </w:t>
      </w:r>
      <w:r w:rsidRPr="00FA68C1">
        <w:rPr>
          <w:rFonts w:cstheme="minorHAnsi"/>
          <w:sz w:val="24"/>
          <w:szCs w:val="24"/>
        </w:rPr>
        <w:t>las reuniones con la comunidad de los barrios involucrados</w:t>
      </w:r>
      <w:r w:rsidR="00D66E09">
        <w:rPr>
          <w:rFonts w:cstheme="minorHAnsi"/>
          <w:sz w:val="24"/>
          <w:szCs w:val="24"/>
        </w:rPr>
        <w:t>, la difusión de la información</w:t>
      </w:r>
      <w:r w:rsidRPr="00FA68C1">
        <w:rPr>
          <w:rFonts w:cstheme="minorHAnsi"/>
          <w:sz w:val="24"/>
          <w:szCs w:val="24"/>
        </w:rPr>
        <w:t xml:space="preserve"> y el monitoreo de unidades con mayor afectación.</w:t>
      </w:r>
      <w:r w:rsidR="007D5B03" w:rsidRPr="00FA68C1">
        <w:rPr>
          <w:rFonts w:cstheme="minorHAnsi"/>
          <w:sz w:val="24"/>
          <w:szCs w:val="24"/>
        </w:rPr>
        <w:t xml:space="preserve"> Además,</w:t>
      </w:r>
      <w:r w:rsidRPr="00FA68C1">
        <w:rPr>
          <w:rFonts w:cstheme="minorHAnsi"/>
          <w:sz w:val="24"/>
          <w:szCs w:val="24"/>
        </w:rPr>
        <w:t xml:space="preserve"> </w:t>
      </w:r>
      <w:r w:rsidR="007D5B03" w:rsidRPr="00FA68C1">
        <w:rPr>
          <w:rFonts w:cstheme="minorHAnsi"/>
          <w:sz w:val="24"/>
          <w:szCs w:val="24"/>
        </w:rPr>
        <w:t>l</w:t>
      </w:r>
      <w:r w:rsidR="008A4C97" w:rsidRPr="00FA68C1">
        <w:rPr>
          <w:rFonts w:cstheme="minorHAnsi"/>
          <w:sz w:val="24"/>
          <w:szCs w:val="24"/>
        </w:rPr>
        <w:t>as medidas de mitigación estructurales por subsidencia</w:t>
      </w:r>
      <w:r w:rsidR="00F66CC3">
        <w:rPr>
          <w:rFonts w:cstheme="minorHAnsi"/>
          <w:sz w:val="24"/>
          <w:szCs w:val="24"/>
        </w:rPr>
        <w:t xml:space="preserve"> es decir (asentamientos)</w:t>
      </w:r>
      <w:r w:rsidR="007D5B03" w:rsidRPr="00FA68C1">
        <w:rPr>
          <w:rFonts w:cstheme="minorHAnsi"/>
          <w:sz w:val="24"/>
          <w:szCs w:val="24"/>
        </w:rPr>
        <w:t xml:space="preserve"> que</w:t>
      </w:r>
      <w:r w:rsidR="008A4C97" w:rsidRPr="00FA68C1">
        <w:rPr>
          <w:rFonts w:cstheme="minorHAnsi"/>
          <w:sz w:val="24"/>
          <w:szCs w:val="24"/>
        </w:rPr>
        <w:t xml:space="preserve"> se refieren a: reforzamiento estructural por enchapado, resane</w:t>
      </w:r>
      <w:r w:rsidR="00F66CC3">
        <w:rPr>
          <w:rFonts w:cstheme="minorHAnsi"/>
          <w:sz w:val="24"/>
          <w:szCs w:val="24"/>
        </w:rPr>
        <w:t>o</w:t>
      </w:r>
      <w:r w:rsidR="008A4C97" w:rsidRPr="00FA68C1">
        <w:rPr>
          <w:rFonts w:cstheme="minorHAnsi"/>
          <w:sz w:val="24"/>
          <w:szCs w:val="24"/>
        </w:rPr>
        <w:t xml:space="preserve"> de fisuras, recimentación, análisis estructural y monitoreo.</w:t>
      </w:r>
      <w:r w:rsidRPr="00FA68C1">
        <w:rPr>
          <w:rFonts w:cstheme="minorHAnsi"/>
          <w:sz w:val="24"/>
          <w:szCs w:val="24"/>
        </w:rPr>
        <w:t xml:space="preserve"> </w:t>
      </w:r>
    </w:p>
    <w:p w:rsidR="001E7A7E" w:rsidRPr="00FA68C1" w:rsidRDefault="001E7A7E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406003" w:rsidRPr="00F66CC3" w:rsidRDefault="00F66CC3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los barrios El Comercio, Turubamba y Solanda se ha contemplado realizar actividades programadas dentro del “Plan de fortalecimiento de las capacidades en los barrios “, en el que s</w:t>
      </w:r>
      <w:r w:rsidR="00847B59" w:rsidRPr="00FA68C1">
        <w:rPr>
          <w:rFonts w:cstheme="minorHAnsi"/>
          <w:sz w:val="24"/>
          <w:szCs w:val="24"/>
        </w:rPr>
        <w:t xml:space="preserve">e ejecutará el </w:t>
      </w:r>
      <w:r w:rsidR="008A4C97" w:rsidRPr="00FA68C1">
        <w:rPr>
          <w:rFonts w:cstheme="minorHAnsi"/>
          <w:sz w:val="24"/>
          <w:szCs w:val="24"/>
        </w:rPr>
        <w:t>Taller de “Red de moni</w:t>
      </w:r>
      <w:r w:rsidR="00847B59" w:rsidRPr="00FA68C1">
        <w:rPr>
          <w:rFonts w:cstheme="minorHAnsi"/>
          <w:sz w:val="24"/>
          <w:szCs w:val="24"/>
        </w:rPr>
        <w:t xml:space="preserve">tores </w:t>
      </w:r>
      <w:r>
        <w:rPr>
          <w:rFonts w:cstheme="minorHAnsi"/>
          <w:sz w:val="24"/>
          <w:szCs w:val="24"/>
        </w:rPr>
        <w:t xml:space="preserve">voluntarios”, en </w:t>
      </w:r>
      <w:r w:rsidR="00847B59" w:rsidRPr="00FA68C1">
        <w:rPr>
          <w:rFonts w:cstheme="minorHAnsi"/>
          <w:sz w:val="24"/>
          <w:szCs w:val="24"/>
        </w:rPr>
        <w:t xml:space="preserve"> conjunto con personal de la Secretaría Genera</w:t>
      </w:r>
      <w:r w:rsidR="007D5B03" w:rsidRPr="00FA68C1">
        <w:rPr>
          <w:rFonts w:cstheme="minorHAnsi"/>
          <w:sz w:val="24"/>
          <w:szCs w:val="24"/>
        </w:rPr>
        <w:t>l de Seguridad y Gobernabilidad y la</w:t>
      </w:r>
      <w:r w:rsidR="00847B59" w:rsidRPr="00FA68C1">
        <w:rPr>
          <w:rFonts w:cstheme="minorHAnsi"/>
          <w:sz w:val="24"/>
          <w:szCs w:val="24"/>
        </w:rPr>
        <w:t xml:space="preserve"> Administración Zonal Eloy Alfaro, </w:t>
      </w:r>
      <w:r w:rsidR="007D5B03" w:rsidRPr="00FA68C1">
        <w:rPr>
          <w:rFonts w:cstheme="minorHAnsi"/>
          <w:sz w:val="24"/>
          <w:szCs w:val="24"/>
        </w:rPr>
        <w:t>el l</w:t>
      </w:r>
      <w:r w:rsidR="008A4C97" w:rsidRPr="00FA68C1">
        <w:rPr>
          <w:rFonts w:cstheme="minorHAnsi"/>
          <w:sz w:val="24"/>
          <w:szCs w:val="24"/>
        </w:rPr>
        <w:t>evantamiento de información ba</w:t>
      </w:r>
      <w:r w:rsidR="00847B59" w:rsidRPr="00FA68C1">
        <w:rPr>
          <w:rFonts w:cstheme="minorHAnsi"/>
          <w:sz w:val="24"/>
          <w:szCs w:val="24"/>
        </w:rPr>
        <w:t>se de las viviendas, taller de i</w:t>
      </w:r>
      <w:r w:rsidR="008A4C97" w:rsidRPr="00FA68C1">
        <w:rPr>
          <w:rFonts w:cstheme="minorHAnsi"/>
          <w:sz w:val="24"/>
          <w:szCs w:val="24"/>
        </w:rPr>
        <w:t>nducción a la Gestión de Riesgos (normativas, r</w:t>
      </w:r>
      <w:r>
        <w:rPr>
          <w:rFonts w:cstheme="minorHAnsi"/>
          <w:sz w:val="24"/>
          <w:szCs w:val="24"/>
        </w:rPr>
        <w:t>esiliencia, entre otros</w:t>
      </w:r>
      <w:r w:rsidR="008A4C97" w:rsidRPr="00FA68C1">
        <w:rPr>
          <w:rFonts w:cstheme="minorHAnsi"/>
          <w:sz w:val="24"/>
          <w:szCs w:val="24"/>
        </w:rPr>
        <w:t>)</w:t>
      </w:r>
      <w:r w:rsidR="00847B59" w:rsidRPr="00FA68C1">
        <w:rPr>
          <w:rFonts w:cstheme="minorHAnsi"/>
          <w:sz w:val="24"/>
          <w:szCs w:val="24"/>
        </w:rPr>
        <w:t>, simulacros frente a</w:t>
      </w:r>
      <w:r w:rsidR="00847B59" w:rsidRPr="00F66CC3">
        <w:rPr>
          <w:rFonts w:cstheme="minorHAnsi"/>
          <w:sz w:val="24"/>
          <w:szCs w:val="24"/>
        </w:rPr>
        <w:t xml:space="preserve"> sismos y talleres de primeros auxilios.</w:t>
      </w:r>
      <w:r w:rsidR="00406003" w:rsidRPr="00F66CC3">
        <w:rPr>
          <w:rFonts w:cstheme="minorHAnsi"/>
          <w:sz w:val="24"/>
          <w:szCs w:val="24"/>
        </w:rPr>
        <w:t xml:space="preserve"> </w:t>
      </w:r>
    </w:p>
    <w:p w:rsidR="00624092" w:rsidRPr="00F66CC3" w:rsidRDefault="00624092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406003" w:rsidRPr="00F66CC3" w:rsidRDefault="00406003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3A207A" w:rsidRPr="00F66CC3" w:rsidRDefault="003A207A" w:rsidP="00847B59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9A4316" w:rsidRPr="00847B59" w:rsidRDefault="009A4316" w:rsidP="00847B59">
      <w:pPr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</w:p>
    <w:p w:rsidR="00396521" w:rsidRDefault="00396521" w:rsidP="00396521">
      <w:pPr>
        <w:tabs>
          <w:tab w:val="left" w:pos="6690"/>
        </w:tabs>
        <w:spacing w:after="0" w:line="276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</w:p>
    <w:p w:rsidR="00B1198A" w:rsidRPr="00396521" w:rsidRDefault="00396521" w:rsidP="00396521">
      <w:pPr>
        <w:tabs>
          <w:tab w:val="left" w:pos="706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sectPr w:rsidR="00B1198A" w:rsidRPr="00396521" w:rsidSect="002E54F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AB" w:rsidRDefault="00671DAB" w:rsidP="009A4316">
      <w:pPr>
        <w:spacing w:after="0" w:line="240" w:lineRule="auto"/>
      </w:pPr>
      <w:r>
        <w:separator/>
      </w:r>
    </w:p>
  </w:endnote>
  <w:endnote w:type="continuationSeparator" w:id="0">
    <w:p w:rsidR="00671DAB" w:rsidRDefault="00671DAB" w:rsidP="009A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196314"/>
      <w:docPartObj>
        <w:docPartGallery w:val="Page Numbers (Bottom of Page)"/>
        <w:docPartUnique/>
      </w:docPartObj>
    </w:sdtPr>
    <w:sdtEndPr/>
    <w:sdtContent>
      <w:p w:rsidR="002E54FD" w:rsidRDefault="002E54F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E4" w:rsidRPr="007812E4">
          <w:rPr>
            <w:noProof/>
            <w:lang w:val="es-ES"/>
          </w:rPr>
          <w:t>2</w:t>
        </w:r>
        <w:r>
          <w:fldChar w:fldCharType="end"/>
        </w:r>
      </w:p>
    </w:sdtContent>
  </w:sdt>
  <w:p w:rsidR="002E54FD" w:rsidRDefault="002E54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C3" w:rsidRDefault="00F66CC3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7812E4" w:rsidRPr="007812E4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  <w:lang w:val="es-ES"/>
      </w:rPr>
      <w:t>1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Asentamientos </w:t>
    </w:r>
  </w:p>
  <w:p w:rsidR="00F66CC3" w:rsidRDefault="00F66C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AB" w:rsidRDefault="00671DAB" w:rsidP="009A4316">
      <w:pPr>
        <w:spacing w:after="0" w:line="240" w:lineRule="auto"/>
      </w:pPr>
      <w:r>
        <w:separator/>
      </w:r>
    </w:p>
  </w:footnote>
  <w:footnote w:type="continuationSeparator" w:id="0">
    <w:p w:rsidR="00671DAB" w:rsidRDefault="00671DAB" w:rsidP="009A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16" w:rsidRDefault="009A431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E3FBB67" wp14:editId="7E0530FD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922145" cy="1358265"/>
          <wp:effectExtent l="0" t="0" r="1905" b="0"/>
          <wp:wrapNone/>
          <wp:docPr id="7" name="Imagen 7" descr="logo-quito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quito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1358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521" w:rsidRDefault="003965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3872F7CA" wp14:editId="2D98C2FF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922145" cy="1358265"/>
          <wp:effectExtent l="0" t="0" r="1905" b="0"/>
          <wp:wrapNone/>
          <wp:docPr id="1" name="Imagen 1" descr="logo-quito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quito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1358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55"/>
    <w:multiLevelType w:val="hybridMultilevel"/>
    <w:tmpl w:val="57DAA232"/>
    <w:lvl w:ilvl="0" w:tplc="DF101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CA4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AA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4A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E7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0C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0CF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EF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2C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F136DF"/>
    <w:multiLevelType w:val="hybridMultilevel"/>
    <w:tmpl w:val="7BD87C96"/>
    <w:lvl w:ilvl="0" w:tplc="25684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24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B04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2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4C0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A0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E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8D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05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97A33A5"/>
    <w:multiLevelType w:val="hybridMultilevel"/>
    <w:tmpl w:val="0974173A"/>
    <w:lvl w:ilvl="0" w:tplc="7272F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E1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2B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E7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F8A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0D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C4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8B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4C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146530"/>
    <w:multiLevelType w:val="hybridMultilevel"/>
    <w:tmpl w:val="4336F1BC"/>
    <w:lvl w:ilvl="0" w:tplc="4212F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4C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C0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2F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84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C5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8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85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E9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16"/>
    <w:rsid w:val="0007118A"/>
    <w:rsid w:val="00151462"/>
    <w:rsid w:val="00195298"/>
    <w:rsid w:val="001E7A7E"/>
    <w:rsid w:val="00205402"/>
    <w:rsid w:val="002D2628"/>
    <w:rsid w:val="002E54FD"/>
    <w:rsid w:val="00396521"/>
    <w:rsid w:val="003A207A"/>
    <w:rsid w:val="00406003"/>
    <w:rsid w:val="00425FD1"/>
    <w:rsid w:val="00506B23"/>
    <w:rsid w:val="00624092"/>
    <w:rsid w:val="00671DAB"/>
    <w:rsid w:val="007812E4"/>
    <w:rsid w:val="007B1050"/>
    <w:rsid w:val="007B1E9D"/>
    <w:rsid w:val="007D5B03"/>
    <w:rsid w:val="00847B59"/>
    <w:rsid w:val="008A4C97"/>
    <w:rsid w:val="009657CD"/>
    <w:rsid w:val="009A4316"/>
    <w:rsid w:val="00B1198A"/>
    <w:rsid w:val="00D66E09"/>
    <w:rsid w:val="00F66CC3"/>
    <w:rsid w:val="00FA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EFC74"/>
  <w15:chartTrackingRefBased/>
  <w15:docId w15:val="{BC9AA1C1-32FD-4C68-AEDF-FD77CFE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16"/>
  </w:style>
  <w:style w:type="paragraph" w:styleId="Ttulo1">
    <w:name w:val="heading 1"/>
    <w:basedOn w:val="Normal"/>
    <w:next w:val="Normal"/>
    <w:link w:val="Ttulo1Car"/>
    <w:uiPriority w:val="9"/>
    <w:qFormat/>
    <w:rsid w:val="007D5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316"/>
  </w:style>
  <w:style w:type="paragraph" w:styleId="Piedepgina">
    <w:name w:val="footer"/>
    <w:basedOn w:val="Normal"/>
    <w:link w:val="PiedepginaCar"/>
    <w:uiPriority w:val="99"/>
    <w:unhideWhenUsed/>
    <w:rsid w:val="009A4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316"/>
  </w:style>
  <w:style w:type="paragraph" w:styleId="Prrafodelista">
    <w:name w:val="List Paragraph"/>
    <w:basedOn w:val="Normal"/>
    <w:uiPriority w:val="34"/>
    <w:qFormat/>
    <w:rsid w:val="00847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7D5B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Barcenas Velastegui</dc:creator>
  <cp:keywords/>
  <dc:description/>
  <cp:lastModifiedBy>Gabriela Barcenas Velastegui</cp:lastModifiedBy>
  <cp:revision>3</cp:revision>
  <cp:lastPrinted>2018-03-20T20:37:00Z</cp:lastPrinted>
  <dcterms:created xsi:type="dcterms:W3CDTF">2018-03-20T21:01:00Z</dcterms:created>
  <dcterms:modified xsi:type="dcterms:W3CDTF">2018-03-20T21:07:00Z</dcterms:modified>
</cp:coreProperties>
</file>